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中心机房升级改造需求说明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学院中心机房升级改造需求如下: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1.更换UPS 电源电池,共64节；确保断电后能支撑2小时以上,时间越长越好；蓄电池产品必须提供国内权威的认证以及检测报告,市场占有率高且环保。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2.更换中心机房防静电地板,共110平方；确保保质期内不起壳。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3.增加一台上前送风空调（恒温恒湿）；制冷量≥12.5kW，风冷型，上前送风恒温恒湿型，风量≥3000m3/h;产品应满足国家相关标准及认证要求。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4.增加4G全网通短信报警模块，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能接收整个机房所有的异常报警信息。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